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DB" w:rsidRPr="004E2713" w:rsidRDefault="003379DB" w:rsidP="001A4F14">
      <w:pPr>
        <w:jc w:val="center"/>
        <w:rPr>
          <w:b/>
          <w:sz w:val="30"/>
          <w:szCs w:val="30"/>
          <w:u w:val="single"/>
        </w:rPr>
      </w:pPr>
      <w:r w:rsidRPr="004E2713">
        <w:rPr>
          <w:b/>
          <w:sz w:val="30"/>
          <w:szCs w:val="30"/>
          <w:u w:val="single"/>
        </w:rPr>
        <w:t>Le droit de rétractation pour les professionnels</w:t>
      </w:r>
    </w:p>
    <w:p w:rsidR="003379DB" w:rsidRDefault="003379DB" w:rsidP="001A4F14">
      <w:pPr>
        <w:jc w:val="both"/>
      </w:pPr>
    </w:p>
    <w:p w:rsidR="003379DB" w:rsidRDefault="003379DB" w:rsidP="001A4F14">
      <w:pPr>
        <w:jc w:val="both"/>
      </w:pPr>
      <w:r>
        <w:t xml:space="preserve">Avec la </w:t>
      </w:r>
      <w:r w:rsidR="00D27D11">
        <w:rPr>
          <w:i/>
        </w:rPr>
        <w:t>loi du 17 M</w:t>
      </w:r>
      <w:r w:rsidRPr="001A4F14">
        <w:rPr>
          <w:i/>
        </w:rPr>
        <w:t>ars 2014</w:t>
      </w:r>
      <w:r w:rsidR="00D27D11">
        <w:t>,</w:t>
      </w:r>
      <w:r w:rsidRPr="001A4F14">
        <w:rPr>
          <w:i/>
        </w:rPr>
        <w:t xml:space="preserve"> </w:t>
      </w:r>
      <w:r w:rsidRPr="00D27D11">
        <w:t xml:space="preserve">dite </w:t>
      </w:r>
      <w:r w:rsidRPr="001A4F14">
        <w:rPr>
          <w:i/>
        </w:rPr>
        <w:t>loi HAMON</w:t>
      </w:r>
      <w:r>
        <w:t>, les règles spécifiques aux démarchages ont été modifiées, particulièrement en ce qui co</w:t>
      </w:r>
      <w:r w:rsidR="00D05DF5">
        <w:t xml:space="preserve">ncerne le droit de rétractation offert aux consommateurs. </w:t>
      </w:r>
      <w:r>
        <w:t xml:space="preserve">   </w:t>
      </w:r>
    </w:p>
    <w:p w:rsidR="003379DB" w:rsidRDefault="003379DB" w:rsidP="001A4F14">
      <w:pPr>
        <w:jc w:val="both"/>
      </w:pPr>
      <w:r w:rsidRPr="003379DB">
        <w:t>Ainsi, selon l’</w:t>
      </w:r>
      <w:r w:rsidRPr="001A4F14">
        <w:rPr>
          <w:i/>
        </w:rPr>
        <w:t>a</w:t>
      </w:r>
      <w:r w:rsidR="00D27D11">
        <w:rPr>
          <w:i/>
        </w:rPr>
        <w:t>rticle L. 121-21 du Code de la C</w:t>
      </w:r>
      <w:r w:rsidRPr="001A4F14">
        <w:rPr>
          <w:i/>
        </w:rPr>
        <w:t>onsommation</w:t>
      </w:r>
      <w:r w:rsidRPr="003379DB">
        <w:t xml:space="preserve">, un délai de </w:t>
      </w:r>
      <w:r w:rsidR="001A4F14">
        <w:t>14 jours</w:t>
      </w:r>
      <w:r w:rsidRPr="003379DB">
        <w:t xml:space="preserve"> est accordé au consommateur pour exercer son droit de rétractation, à partir de la conclusion du contrat lorsqu’il porte sur une prestation de service, et à partir de la réception du produit quand le contrat inclut la livraison</w:t>
      </w:r>
      <w:r>
        <w:t xml:space="preserve">.  </w:t>
      </w:r>
    </w:p>
    <w:p w:rsidR="004E2713" w:rsidRDefault="004E2713" w:rsidP="001A4F14">
      <w:pPr>
        <w:jc w:val="both"/>
      </w:pPr>
    </w:p>
    <w:p w:rsidR="00DE3DE7" w:rsidRPr="004E2713" w:rsidRDefault="003379DB" w:rsidP="001A4F14">
      <w:pPr>
        <w:jc w:val="both"/>
        <w:rPr>
          <w:b/>
          <w:sz w:val="26"/>
          <w:szCs w:val="26"/>
        </w:rPr>
      </w:pPr>
      <w:r w:rsidRPr="004E2713">
        <w:rPr>
          <w:b/>
          <w:sz w:val="26"/>
          <w:szCs w:val="26"/>
        </w:rPr>
        <w:t xml:space="preserve">Qu’en est-il pour le professionnel ? </w:t>
      </w:r>
      <w:r w:rsidR="00DE3DE7" w:rsidRPr="004E2713">
        <w:rPr>
          <w:b/>
          <w:sz w:val="26"/>
          <w:szCs w:val="26"/>
        </w:rPr>
        <w:t xml:space="preserve">La loi Hamon est-elle applicable ?  </w:t>
      </w:r>
    </w:p>
    <w:p w:rsidR="00DE3DE7" w:rsidRPr="00CF07A0" w:rsidRDefault="006424D1" w:rsidP="001A4F14">
      <w:pPr>
        <w:jc w:val="both"/>
        <w:rPr>
          <w:u w:val="single"/>
        </w:rPr>
      </w:pPr>
      <w:r>
        <w:t>L</w:t>
      </w:r>
      <w:r w:rsidR="00DE3DE7">
        <w:t xml:space="preserve">a </w:t>
      </w:r>
      <w:r w:rsidR="00DE3DE7" w:rsidRPr="00D27D11">
        <w:rPr>
          <w:i/>
        </w:rPr>
        <w:t xml:space="preserve">loi du </w:t>
      </w:r>
      <w:r w:rsidR="00D27D11">
        <w:rPr>
          <w:i/>
        </w:rPr>
        <w:t>31 Décembre 19</w:t>
      </w:r>
      <w:r w:rsidR="00DE3DE7" w:rsidRPr="00D27D11">
        <w:rPr>
          <w:i/>
        </w:rPr>
        <w:t xml:space="preserve">89 </w:t>
      </w:r>
      <w:r w:rsidR="00DE3DE7">
        <w:t xml:space="preserve">avait </w:t>
      </w:r>
      <w:r w:rsidR="00CF07A0">
        <w:t>é</w:t>
      </w:r>
      <w:r w:rsidR="00DE3DE7">
        <w:t xml:space="preserve">tendu </w:t>
      </w:r>
      <w:r w:rsidR="003379DB" w:rsidRPr="003379DB">
        <w:t xml:space="preserve">aux professionnels personnes physiques la protection dont bénéficie le consommateur, dès lors que l’objet de la vente par démarchage </w:t>
      </w:r>
      <w:r w:rsidR="003379DB" w:rsidRPr="00CF07A0">
        <w:rPr>
          <w:u w:val="single"/>
        </w:rPr>
        <w:t xml:space="preserve">n’a pas de rapport direct avec leur activité professionnelle. </w:t>
      </w:r>
    </w:p>
    <w:p w:rsidR="00376F64" w:rsidRDefault="00376F64" w:rsidP="001A4F14">
      <w:pPr>
        <w:jc w:val="both"/>
      </w:pPr>
      <w:r>
        <w:t>L</w:t>
      </w:r>
      <w:r w:rsidR="00D27D11">
        <w:t xml:space="preserve">a </w:t>
      </w:r>
      <w:r w:rsidR="00D27D11" w:rsidRPr="00D27D11">
        <w:rPr>
          <w:i/>
        </w:rPr>
        <w:t>loi du 17 Mars</w:t>
      </w:r>
      <w:r w:rsidR="00DE3DE7" w:rsidRPr="00D27D11">
        <w:rPr>
          <w:i/>
        </w:rPr>
        <w:t xml:space="preserve"> 2014</w:t>
      </w:r>
      <w:r w:rsidR="00DE3DE7">
        <w:t xml:space="preserve">, </w:t>
      </w:r>
      <w:r>
        <w:t>est venue modifier les</w:t>
      </w:r>
      <w:r w:rsidR="003379DB" w:rsidRPr="003379DB">
        <w:t xml:space="preserve"> règles </w:t>
      </w:r>
      <w:r>
        <w:t xml:space="preserve">relatives au droit de rétractation en matière de démarchage </w:t>
      </w:r>
      <w:r w:rsidR="00D05DF5" w:rsidRPr="003379DB">
        <w:t>applicables</w:t>
      </w:r>
      <w:r w:rsidR="00D05DF5">
        <w:t xml:space="preserve"> aux</w:t>
      </w:r>
      <w:r w:rsidR="003379DB" w:rsidRPr="003379DB">
        <w:t xml:space="preserve"> relations entre </w:t>
      </w:r>
      <w:r w:rsidR="00DE3DE7">
        <w:t>consommateurs et professionnels</w:t>
      </w:r>
      <w:r>
        <w:t xml:space="preserve">.  </w:t>
      </w:r>
    </w:p>
    <w:p w:rsidR="00DE3DE7" w:rsidRDefault="00D05DF5" w:rsidP="001A4F14">
      <w:pPr>
        <w:jc w:val="both"/>
      </w:pPr>
      <w:r>
        <w:t>L</w:t>
      </w:r>
      <w:r w:rsidR="006424D1">
        <w:t>’</w:t>
      </w:r>
      <w:r w:rsidR="006424D1" w:rsidRPr="00D27D11">
        <w:rPr>
          <w:i/>
        </w:rPr>
        <w:t>article L</w:t>
      </w:r>
      <w:r w:rsidR="00D27D11">
        <w:rPr>
          <w:i/>
        </w:rPr>
        <w:t xml:space="preserve">. </w:t>
      </w:r>
      <w:r w:rsidR="006424D1" w:rsidRPr="00D27D11">
        <w:rPr>
          <w:i/>
        </w:rPr>
        <w:t xml:space="preserve">121-16- </w:t>
      </w:r>
      <w:r w:rsidRPr="00D27D11">
        <w:rPr>
          <w:i/>
        </w:rPr>
        <w:t>du Code</w:t>
      </w:r>
      <w:r w:rsidR="00D27D11">
        <w:rPr>
          <w:i/>
        </w:rPr>
        <w:t xml:space="preserve"> de la C</w:t>
      </w:r>
      <w:r w:rsidR="006424D1" w:rsidRPr="00D27D11">
        <w:rPr>
          <w:i/>
        </w:rPr>
        <w:t xml:space="preserve">onsommation </w:t>
      </w:r>
      <w:r>
        <w:t>a</w:t>
      </w:r>
      <w:r w:rsidR="00CF07A0">
        <w:t xml:space="preserve"> confirmé ce droit</w:t>
      </w:r>
      <w:r>
        <w:t>,</w:t>
      </w:r>
      <w:r w:rsidR="00376F64">
        <w:t xml:space="preserve"> sous certaines conditions</w:t>
      </w:r>
      <w:r>
        <w:t>,</w:t>
      </w:r>
      <w:r w:rsidR="00376F64">
        <w:t xml:space="preserve"> aux contrats conclus hors </w:t>
      </w:r>
      <w:r>
        <w:t>établissement entre</w:t>
      </w:r>
      <w:r w:rsidR="00376F64">
        <w:t xml:space="preserve"> </w:t>
      </w:r>
      <w:r>
        <w:t>professionnels en</w:t>
      </w:r>
      <w:r w:rsidR="00DE3DE7">
        <w:t xml:space="preserve"> posant 3 conditions cumulatives :  </w:t>
      </w:r>
    </w:p>
    <w:p w:rsidR="00D05DF5" w:rsidRDefault="00D05DF5" w:rsidP="001A4F14">
      <w:pPr>
        <w:pStyle w:val="Paragraphedeliste"/>
        <w:numPr>
          <w:ilvl w:val="0"/>
          <w:numId w:val="1"/>
        </w:numPr>
        <w:overflowPunct w:val="0"/>
        <w:autoSpaceDE w:val="0"/>
        <w:autoSpaceDN w:val="0"/>
        <w:adjustRightInd w:val="0"/>
        <w:spacing w:after="0" w:line="240" w:lineRule="auto"/>
        <w:jc w:val="both"/>
        <w:textAlignment w:val="baseline"/>
      </w:pPr>
      <w:r>
        <w:t>L</w:t>
      </w:r>
      <w:r w:rsidR="009E2C16">
        <w:t>e contrat doit être conclu hors é</w:t>
      </w:r>
      <w:bookmarkStart w:id="0" w:name="_GoBack"/>
      <w:bookmarkEnd w:id="0"/>
      <w:r w:rsidR="009E2C16">
        <w:t xml:space="preserve">tablissement.  </w:t>
      </w:r>
      <w:r w:rsidR="009E2C16" w:rsidRPr="00D51F88">
        <w:t>La vente hors établissement est une technique de vente qui consiste à solliciter le consommateur en dehors d’un établissement commercial, c’est-à-dire soit à son domicile, à son travail, dans un espace public</w:t>
      </w:r>
      <w:r w:rsidR="009E2C16">
        <w:t xml:space="preserve"> </w:t>
      </w:r>
      <w:r>
        <w:t>…</w:t>
      </w:r>
    </w:p>
    <w:p w:rsidR="00D27D11" w:rsidRDefault="00D27D11" w:rsidP="00D27D11">
      <w:pPr>
        <w:pStyle w:val="Paragraphedeliste"/>
        <w:overflowPunct w:val="0"/>
        <w:autoSpaceDE w:val="0"/>
        <w:autoSpaceDN w:val="0"/>
        <w:adjustRightInd w:val="0"/>
        <w:spacing w:after="0" w:line="240" w:lineRule="auto"/>
        <w:jc w:val="both"/>
        <w:textAlignment w:val="baseline"/>
      </w:pPr>
    </w:p>
    <w:p w:rsidR="009E2C16" w:rsidRDefault="00D05DF5" w:rsidP="001A4F14">
      <w:pPr>
        <w:pStyle w:val="Paragraphedeliste"/>
        <w:numPr>
          <w:ilvl w:val="0"/>
          <w:numId w:val="1"/>
        </w:numPr>
        <w:overflowPunct w:val="0"/>
        <w:autoSpaceDE w:val="0"/>
        <w:autoSpaceDN w:val="0"/>
        <w:adjustRightInd w:val="0"/>
        <w:spacing w:after="0" w:line="240" w:lineRule="auto"/>
        <w:jc w:val="both"/>
        <w:textAlignment w:val="baseline"/>
      </w:pPr>
      <w:r>
        <w:t>L</w:t>
      </w:r>
      <w:r w:rsidR="009E2C16">
        <w:t xml:space="preserve">’objet du contrat ne </w:t>
      </w:r>
      <w:r w:rsidR="009E2C16" w:rsidRPr="008E738C">
        <w:rPr>
          <w:b/>
        </w:rPr>
        <w:t>doit pas entrer dans le champ d’activité principale de l’entreprise</w:t>
      </w:r>
      <w:r w:rsidR="009E2C16">
        <w:t>.</w:t>
      </w:r>
    </w:p>
    <w:p w:rsidR="00D27D11" w:rsidRDefault="00D27D11" w:rsidP="00D27D11">
      <w:pPr>
        <w:overflowPunct w:val="0"/>
        <w:autoSpaceDE w:val="0"/>
        <w:autoSpaceDN w:val="0"/>
        <w:adjustRightInd w:val="0"/>
        <w:spacing w:after="0" w:line="240" w:lineRule="auto"/>
        <w:ind w:left="720"/>
        <w:jc w:val="both"/>
        <w:textAlignment w:val="baseline"/>
      </w:pPr>
    </w:p>
    <w:p w:rsidR="00DE3DE7" w:rsidRDefault="00D05DF5" w:rsidP="001A4F14">
      <w:pPr>
        <w:numPr>
          <w:ilvl w:val="0"/>
          <w:numId w:val="1"/>
        </w:numPr>
        <w:overflowPunct w:val="0"/>
        <w:autoSpaceDE w:val="0"/>
        <w:autoSpaceDN w:val="0"/>
        <w:adjustRightInd w:val="0"/>
        <w:spacing w:after="0" w:line="240" w:lineRule="auto"/>
        <w:jc w:val="both"/>
        <w:textAlignment w:val="baseline"/>
      </w:pPr>
      <w:r>
        <w:t>L</w:t>
      </w:r>
      <w:r w:rsidR="009E2C16">
        <w:t>e nombre de salariés de l’entreprise do</w:t>
      </w:r>
      <w:r w:rsidR="00E66609">
        <w:t xml:space="preserve">it être inférieur ou égal à </w:t>
      </w:r>
      <w:r w:rsidR="004E2713">
        <w:t>5</w:t>
      </w:r>
      <w:r w:rsidR="00DE3DE7">
        <w:t>.</w:t>
      </w:r>
    </w:p>
    <w:p w:rsidR="00E66609" w:rsidRDefault="00E66609" w:rsidP="001A4F14">
      <w:pPr>
        <w:overflowPunct w:val="0"/>
        <w:autoSpaceDE w:val="0"/>
        <w:autoSpaceDN w:val="0"/>
        <w:adjustRightInd w:val="0"/>
        <w:spacing w:after="0" w:line="240" w:lineRule="auto"/>
        <w:ind w:left="360"/>
        <w:jc w:val="both"/>
        <w:textAlignment w:val="baseline"/>
      </w:pPr>
      <w:r>
        <w:t xml:space="preserve"> </w:t>
      </w:r>
    </w:p>
    <w:p w:rsidR="00DE3DE7" w:rsidRDefault="00D05DF5" w:rsidP="001A4F14">
      <w:pPr>
        <w:overflowPunct w:val="0"/>
        <w:autoSpaceDE w:val="0"/>
        <w:autoSpaceDN w:val="0"/>
        <w:adjustRightInd w:val="0"/>
        <w:spacing w:after="0" w:line="240" w:lineRule="auto"/>
        <w:jc w:val="both"/>
        <w:textAlignment w:val="baseline"/>
      </w:pPr>
      <w:r>
        <w:t>En ce qui concerne le professionnel, l</w:t>
      </w:r>
      <w:r w:rsidR="006424D1">
        <w:t xml:space="preserve">e législateur a défini comme suit la notion de contrat conclu hors établissement :  </w:t>
      </w:r>
    </w:p>
    <w:p w:rsidR="004E2713" w:rsidRDefault="004E2713" w:rsidP="001A4F14">
      <w:pPr>
        <w:overflowPunct w:val="0"/>
        <w:autoSpaceDE w:val="0"/>
        <w:autoSpaceDN w:val="0"/>
        <w:adjustRightInd w:val="0"/>
        <w:spacing w:after="0" w:line="240" w:lineRule="auto"/>
        <w:jc w:val="both"/>
        <w:textAlignment w:val="baseline"/>
      </w:pPr>
    </w:p>
    <w:p w:rsidR="006424D1" w:rsidRDefault="00F038D7" w:rsidP="001A4F14">
      <w:pPr>
        <w:overflowPunct w:val="0"/>
        <w:autoSpaceDE w:val="0"/>
        <w:autoSpaceDN w:val="0"/>
        <w:adjustRightInd w:val="0"/>
        <w:spacing w:after="0" w:line="240" w:lineRule="auto"/>
        <w:jc w:val="both"/>
        <w:textAlignment w:val="baseline"/>
      </w:pPr>
      <w:r>
        <w:t xml:space="preserve">« a) </w:t>
      </w:r>
      <w:r w:rsidR="006424D1">
        <w:t>Dans un lieu qui n'est pas celui où le professionnel exerce son activité en permanence ou de manière habituelle, en la présence physique simultanée des parties, y compris à la suite d'une sollicitation ou d'une o</w:t>
      </w:r>
      <w:r w:rsidR="00D05DF5">
        <w:t>f</w:t>
      </w:r>
      <w:r w:rsidR="004E2713">
        <w:t>fre faite par le consommateur. </w:t>
      </w:r>
    </w:p>
    <w:p w:rsidR="006424D1" w:rsidRDefault="006424D1" w:rsidP="001A4F14">
      <w:pPr>
        <w:overflowPunct w:val="0"/>
        <w:autoSpaceDE w:val="0"/>
        <w:autoSpaceDN w:val="0"/>
        <w:adjustRightInd w:val="0"/>
        <w:spacing w:after="0" w:line="240" w:lineRule="auto"/>
        <w:jc w:val="both"/>
        <w:textAlignment w:val="baseline"/>
      </w:pPr>
    </w:p>
    <w:p w:rsidR="006424D1" w:rsidRDefault="006424D1" w:rsidP="001A4F14">
      <w:pPr>
        <w:overflowPunct w:val="0"/>
        <w:autoSpaceDE w:val="0"/>
        <w:autoSpaceDN w:val="0"/>
        <w:adjustRightInd w:val="0"/>
        <w:spacing w:after="0" w:line="240" w:lineRule="auto"/>
        <w:jc w:val="both"/>
        <w:textAlignment w:val="baseline"/>
      </w:pPr>
      <w:r>
        <w:t xml:space="preserve">b) </w:t>
      </w:r>
      <w:r w:rsidRPr="006424D1">
        <w:rPr>
          <w:b/>
        </w:rPr>
        <w:t>Ou</w:t>
      </w:r>
      <w:r>
        <w:t xml:space="preserve"> dans le lieu où le professionnel exerce son activité en permanence ou de manière habituelle ou au moyen d'une technique de communication à distance, immédiatement après que le consommateur a été sollicité personnellement et individuellement dans un lieu différent de celui où le professionnel exerce en permanence ou de manière habituelle son activité et où les parties étaient, physiquement et simultanément, présentes. »</w:t>
      </w:r>
    </w:p>
    <w:p w:rsidR="006424D1" w:rsidRDefault="006424D1" w:rsidP="001A4F14">
      <w:pPr>
        <w:overflowPunct w:val="0"/>
        <w:autoSpaceDE w:val="0"/>
        <w:autoSpaceDN w:val="0"/>
        <w:adjustRightInd w:val="0"/>
        <w:spacing w:after="0" w:line="240" w:lineRule="auto"/>
        <w:jc w:val="both"/>
        <w:textAlignment w:val="baseline"/>
      </w:pPr>
    </w:p>
    <w:p w:rsidR="00396A2B" w:rsidRDefault="00D05DF5" w:rsidP="001A4F14">
      <w:pPr>
        <w:jc w:val="both"/>
      </w:pPr>
      <w:r>
        <w:t xml:space="preserve">Au regard de ces trois conditions, </w:t>
      </w:r>
      <w:r w:rsidR="00CF07A0">
        <w:t>la deuxième est celle qui est la plus difficile à définir</w:t>
      </w:r>
      <w:r w:rsidR="00396A2B">
        <w:t xml:space="preserve">, puisque </w:t>
      </w:r>
      <w:r w:rsidR="008E738C">
        <w:t>« </w:t>
      </w:r>
      <w:r w:rsidR="00396A2B" w:rsidRPr="003379DB">
        <w:t>de rapport direct avec</w:t>
      </w:r>
      <w:r w:rsidR="00396A2B">
        <w:t xml:space="preserve"> leur activité professionnelle</w:t>
      </w:r>
      <w:r w:rsidR="008E738C">
        <w:t> »</w:t>
      </w:r>
      <w:r w:rsidR="00396A2B">
        <w:t xml:space="preserve">, le législateur </w:t>
      </w:r>
      <w:r w:rsidR="008E738C">
        <w:t xml:space="preserve">est passé à </w:t>
      </w:r>
      <w:r w:rsidR="00396A2B">
        <w:t>«</w:t>
      </w:r>
      <w:r>
        <w:t> l’objet du contrat ne doit pas entrer dans le champ d’acti</w:t>
      </w:r>
      <w:r w:rsidR="00CF07A0">
        <w:t xml:space="preserve">vité principale de l’entreprise ». </w:t>
      </w:r>
    </w:p>
    <w:p w:rsidR="008F4882" w:rsidRPr="004E2713" w:rsidRDefault="00CF07A0" w:rsidP="004E2713">
      <w:pPr>
        <w:overflowPunct w:val="0"/>
        <w:autoSpaceDE w:val="0"/>
        <w:autoSpaceDN w:val="0"/>
        <w:adjustRightInd w:val="0"/>
        <w:spacing w:after="0" w:line="240" w:lineRule="auto"/>
        <w:jc w:val="both"/>
        <w:textAlignment w:val="baseline"/>
        <w:rPr>
          <w:b/>
          <w:sz w:val="26"/>
          <w:szCs w:val="26"/>
        </w:rPr>
      </w:pPr>
      <w:r w:rsidRPr="004E2713">
        <w:rPr>
          <w:b/>
          <w:sz w:val="26"/>
          <w:szCs w:val="26"/>
        </w:rPr>
        <w:lastRenderedPageBreak/>
        <w:t>C</w:t>
      </w:r>
      <w:r w:rsidR="004E2713" w:rsidRPr="004E2713">
        <w:rPr>
          <w:b/>
          <w:sz w:val="26"/>
          <w:szCs w:val="26"/>
        </w:rPr>
        <w:t xml:space="preserve">omment la jurisprudence a-t-elle </w:t>
      </w:r>
      <w:r w:rsidR="00396A2B" w:rsidRPr="004E2713">
        <w:rPr>
          <w:b/>
          <w:sz w:val="26"/>
          <w:szCs w:val="26"/>
        </w:rPr>
        <w:t>défini cette notion ?</w:t>
      </w:r>
    </w:p>
    <w:p w:rsidR="004E2713" w:rsidRPr="004E2713" w:rsidRDefault="004E2713" w:rsidP="004E2713">
      <w:pPr>
        <w:overflowPunct w:val="0"/>
        <w:autoSpaceDE w:val="0"/>
        <w:autoSpaceDN w:val="0"/>
        <w:adjustRightInd w:val="0"/>
        <w:spacing w:after="0" w:line="240" w:lineRule="auto"/>
        <w:jc w:val="both"/>
        <w:textAlignment w:val="baseline"/>
      </w:pPr>
    </w:p>
    <w:p w:rsidR="008F4882" w:rsidRDefault="008F4882" w:rsidP="001A4F14">
      <w:pPr>
        <w:overflowPunct w:val="0"/>
        <w:autoSpaceDE w:val="0"/>
        <w:autoSpaceDN w:val="0"/>
        <w:adjustRightInd w:val="0"/>
        <w:spacing w:after="0" w:line="240" w:lineRule="auto"/>
        <w:jc w:val="both"/>
        <w:textAlignment w:val="baseline"/>
      </w:pPr>
      <w:r>
        <w:t xml:space="preserve">Avant la réforme de </w:t>
      </w:r>
      <w:r w:rsidR="00CF07A0">
        <w:t>2014, la Cour de C</w:t>
      </w:r>
      <w:r>
        <w:t xml:space="preserve">assation considérait que les dispositions protectrices étaient applicables à un marchand de vêtements démarché pour un système d’alarme ou encore à un garagiste pour la souscription d’un contrat de télésurveillance </w:t>
      </w:r>
    </w:p>
    <w:p w:rsidR="008F4882" w:rsidRDefault="008F4882" w:rsidP="001A4F14">
      <w:pPr>
        <w:overflowPunct w:val="0"/>
        <w:autoSpaceDE w:val="0"/>
        <w:autoSpaceDN w:val="0"/>
        <w:adjustRightInd w:val="0"/>
        <w:spacing w:after="0" w:line="240" w:lineRule="auto"/>
        <w:jc w:val="both"/>
        <w:textAlignment w:val="baseline"/>
      </w:pPr>
    </w:p>
    <w:p w:rsidR="008F4882" w:rsidRPr="00FE6923" w:rsidRDefault="008F4882" w:rsidP="001A4F14">
      <w:pPr>
        <w:overflowPunct w:val="0"/>
        <w:autoSpaceDE w:val="0"/>
        <w:autoSpaceDN w:val="0"/>
        <w:adjustRightInd w:val="0"/>
        <w:spacing w:after="0" w:line="240" w:lineRule="auto"/>
        <w:jc w:val="both"/>
        <w:textAlignment w:val="baseline"/>
        <w:rPr>
          <w:rFonts w:cstheme="minorHAnsi"/>
        </w:rPr>
      </w:pPr>
      <w:r w:rsidRPr="004E2713">
        <w:t xml:space="preserve">En revanche, la Cour </w:t>
      </w:r>
      <w:r w:rsidR="00CF07A0" w:rsidRPr="004E2713">
        <w:t>de C</w:t>
      </w:r>
      <w:r w:rsidRPr="004E2713">
        <w:t>assation avait jugé que les dispositions litigieuses n’étaient pas applicables à</w:t>
      </w:r>
      <w:r w:rsidRPr="00FE6923">
        <w:rPr>
          <w:rFonts w:cstheme="minorHAnsi"/>
        </w:rPr>
        <w:t xml:space="preserve"> des contrats publicitaires destinés à promouvoir et développer l’activité commerciale. </w:t>
      </w:r>
    </w:p>
    <w:p w:rsidR="008F4882" w:rsidRPr="00FE6923" w:rsidRDefault="008F4882" w:rsidP="001A4F14">
      <w:pPr>
        <w:overflowPunct w:val="0"/>
        <w:autoSpaceDE w:val="0"/>
        <w:autoSpaceDN w:val="0"/>
        <w:adjustRightInd w:val="0"/>
        <w:spacing w:after="0" w:line="240" w:lineRule="auto"/>
        <w:jc w:val="both"/>
        <w:textAlignment w:val="baseline"/>
        <w:rPr>
          <w:rFonts w:cstheme="minorHAnsi"/>
        </w:rPr>
      </w:pPr>
      <w:r w:rsidRPr="00FE6923">
        <w:rPr>
          <w:rFonts w:cstheme="minorHAnsi"/>
        </w:rPr>
        <w:t xml:space="preserve"> </w:t>
      </w:r>
    </w:p>
    <w:p w:rsidR="008F4882" w:rsidRPr="00FE6923" w:rsidRDefault="00CF07A0" w:rsidP="001A4F14">
      <w:pPr>
        <w:jc w:val="both"/>
        <w:rPr>
          <w:rFonts w:cstheme="minorHAnsi"/>
          <w:b/>
          <w:i/>
        </w:rPr>
      </w:pPr>
      <w:r>
        <w:rPr>
          <w:rFonts w:cstheme="minorHAnsi"/>
        </w:rPr>
        <w:t>De manière générale, et m</w:t>
      </w:r>
      <w:r w:rsidR="008E738C" w:rsidRPr="00CF07A0">
        <w:rPr>
          <w:rFonts w:cstheme="minorHAnsi"/>
        </w:rPr>
        <w:t>algré la loi de 2014, les juges s’attachaient à vérifier</w:t>
      </w:r>
      <w:r w:rsidR="008E738C" w:rsidRPr="00FE6923">
        <w:rPr>
          <w:rFonts w:cstheme="minorHAnsi"/>
          <w:i/>
        </w:rPr>
        <w:t xml:space="preserve"> </w:t>
      </w:r>
      <w:r w:rsidR="008E738C" w:rsidRPr="00FE6923">
        <w:rPr>
          <w:rStyle w:val="Accentuation"/>
          <w:rFonts w:cstheme="minorHAnsi"/>
          <w:i w:val="0"/>
        </w:rPr>
        <w:t>si les contrats souscrit</w:t>
      </w:r>
      <w:r w:rsidR="00FE6923" w:rsidRPr="00FE6923">
        <w:rPr>
          <w:rStyle w:val="Accentuation"/>
          <w:rFonts w:cstheme="minorHAnsi"/>
          <w:i w:val="0"/>
        </w:rPr>
        <w:t>s</w:t>
      </w:r>
      <w:r w:rsidR="008E738C" w:rsidRPr="00FE6923">
        <w:rPr>
          <w:rStyle w:val="Accentuation"/>
          <w:rFonts w:cstheme="minorHAnsi"/>
          <w:i w:val="0"/>
        </w:rPr>
        <w:t xml:space="preserve"> </w:t>
      </w:r>
      <w:r w:rsidR="00FE6923" w:rsidRPr="00FE6923">
        <w:rPr>
          <w:rStyle w:val="Accentuation"/>
          <w:rFonts w:cstheme="minorHAnsi"/>
          <w:i w:val="0"/>
        </w:rPr>
        <w:t>servaient à</w:t>
      </w:r>
      <w:r w:rsidR="008E738C" w:rsidRPr="00FE6923">
        <w:rPr>
          <w:rStyle w:val="Accentuation"/>
          <w:rFonts w:cstheme="minorHAnsi"/>
          <w:i w:val="0"/>
        </w:rPr>
        <w:t xml:space="preserve"> </w:t>
      </w:r>
      <w:r w:rsidR="00FE6923" w:rsidRPr="00FE6923">
        <w:rPr>
          <w:rStyle w:val="Accentuation"/>
          <w:rFonts w:cstheme="minorHAnsi"/>
          <w:i w:val="0"/>
        </w:rPr>
        <w:t>p</w:t>
      </w:r>
      <w:r w:rsidR="008E738C" w:rsidRPr="00FE6923">
        <w:rPr>
          <w:rStyle w:val="Accentuation"/>
          <w:rFonts w:cstheme="minorHAnsi"/>
          <w:i w:val="0"/>
        </w:rPr>
        <w:t xml:space="preserve">romouvoir </w:t>
      </w:r>
      <w:r w:rsidR="00FE6923" w:rsidRPr="00FE6923">
        <w:rPr>
          <w:rStyle w:val="Accentuation"/>
          <w:rFonts w:cstheme="minorHAnsi"/>
          <w:i w:val="0"/>
        </w:rPr>
        <w:t xml:space="preserve">ou non </w:t>
      </w:r>
      <w:r w:rsidR="00FE6923" w:rsidRPr="00FE6923">
        <w:rPr>
          <w:rFonts w:cstheme="minorHAnsi"/>
        </w:rPr>
        <w:t>l’activité</w:t>
      </w:r>
      <w:r w:rsidR="008E738C" w:rsidRPr="00FE6923">
        <w:rPr>
          <w:rFonts w:cstheme="minorHAnsi"/>
        </w:rPr>
        <w:t xml:space="preserve"> professionnelle</w:t>
      </w:r>
      <w:r w:rsidR="008E738C" w:rsidRPr="00FE6923">
        <w:rPr>
          <w:rFonts w:cstheme="minorHAnsi"/>
          <w:b/>
          <w:i/>
        </w:rPr>
        <w:t xml:space="preserve">.  </w:t>
      </w:r>
    </w:p>
    <w:p w:rsidR="008F4882" w:rsidRPr="00FE6923" w:rsidRDefault="008F4882" w:rsidP="001A4F14">
      <w:pPr>
        <w:jc w:val="both"/>
        <w:rPr>
          <w:rStyle w:val="Accentuation"/>
          <w:rFonts w:cstheme="minorHAnsi"/>
          <w:i w:val="0"/>
          <w:color w:val="393939"/>
        </w:rPr>
      </w:pPr>
      <w:r w:rsidRPr="00FE6923">
        <w:rPr>
          <w:rFonts w:cstheme="minorHAnsi"/>
        </w:rPr>
        <w:t>En 2018, un arrêt important de la Cour de cassation est rendu puisqu</w:t>
      </w:r>
      <w:r w:rsidR="00FE6923">
        <w:rPr>
          <w:rFonts w:cstheme="minorHAnsi"/>
        </w:rPr>
        <w:t xml:space="preserve">e la Cour </w:t>
      </w:r>
      <w:r w:rsidRPr="00FE6923">
        <w:rPr>
          <w:rFonts w:cstheme="minorHAnsi"/>
        </w:rPr>
        <w:t xml:space="preserve">reprend les termes de la loi </w:t>
      </w:r>
      <w:r w:rsidR="00FE6923" w:rsidRPr="00FE6923">
        <w:rPr>
          <w:rFonts w:cstheme="minorHAnsi"/>
        </w:rPr>
        <w:t>HAMON en</w:t>
      </w:r>
      <w:r w:rsidRPr="00FE6923">
        <w:rPr>
          <w:rFonts w:cstheme="minorHAnsi"/>
        </w:rPr>
        <w:t xml:space="preserve"> indiquant que </w:t>
      </w:r>
      <w:r w:rsidR="00FE6923">
        <w:rPr>
          <w:rFonts w:cstheme="minorHAnsi"/>
        </w:rPr>
        <w:t>« </w:t>
      </w:r>
      <w:r w:rsidRPr="00FE6923">
        <w:rPr>
          <w:rStyle w:val="lev"/>
          <w:rFonts w:cstheme="minorHAnsi"/>
          <w:iCs/>
        </w:rPr>
        <w:t>la communication commerciale et la publicité via un site Internet n’entra</w:t>
      </w:r>
      <w:r w:rsidR="008E738C" w:rsidRPr="00FE6923">
        <w:rPr>
          <w:rStyle w:val="lev"/>
          <w:rFonts w:cstheme="minorHAnsi"/>
          <w:iCs/>
        </w:rPr>
        <w:t xml:space="preserve">nt </w:t>
      </w:r>
      <w:r w:rsidRPr="00FE6923">
        <w:rPr>
          <w:rStyle w:val="lev"/>
          <w:rFonts w:cstheme="minorHAnsi"/>
          <w:iCs/>
        </w:rPr>
        <w:t>pas dans le champ de l’activité principale de Mme Y, architecte</w:t>
      </w:r>
      <w:r w:rsidRPr="00FE6923">
        <w:rPr>
          <w:rStyle w:val="Accentuation"/>
          <w:rFonts w:cstheme="minorHAnsi"/>
          <w:i w:val="0"/>
          <w:color w:val="393939"/>
        </w:rPr>
        <w:t xml:space="preserve">, </w:t>
      </w:r>
      <w:r w:rsidRPr="00FE6923">
        <w:rPr>
          <w:rStyle w:val="Accentuation"/>
          <w:rFonts w:cstheme="minorHAnsi"/>
          <w:i w:val="0"/>
        </w:rPr>
        <w:t xml:space="preserve">la cour d’appel </w:t>
      </w:r>
      <w:r w:rsidRPr="00FE6923">
        <w:rPr>
          <w:rStyle w:val="Accentuation"/>
          <w:rFonts w:cstheme="minorHAnsi"/>
          <w:b/>
          <w:i w:val="0"/>
        </w:rPr>
        <w:t xml:space="preserve">n’a pu qu’en déduire que </w:t>
      </w:r>
      <w:r w:rsidRPr="00FE6923">
        <w:rPr>
          <w:rStyle w:val="lev"/>
          <w:rFonts w:cstheme="minorHAnsi"/>
          <w:iCs/>
          <w:color w:val="auto"/>
        </w:rPr>
        <w:t>celle-ci bénéficiait du droit de rétractation</w:t>
      </w:r>
      <w:r w:rsidRPr="00FE6923">
        <w:rPr>
          <w:rStyle w:val="Accentuation"/>
          <w:rFonts w:cstheme="minorHAnsi"/>
          <w:i w:val="0"/>
        </w:rPr>
        <w:t xml:space="preserve"> prévu par l’article L. 121-21 du code de la consommation.</w:t>
      </w:r>
      <w:r w:rsidR="00FE6923">
        <w:rPr>
          <w:rStyle w:val="Accentuation"/>
          <w:rFonts w:cstheme="minorHAnsi"/>
          <w:i w:val="0"/>
        </w:rPr>
        <w:t> »</w:t>
      </w:r>
      <w:r w:rsidRPr="00FE6923">
        <w:rPr>
          <w:rStyle w:val="Accentuation"/>
          <w:rFonts w:cstheme="minorHAnsi"/>
          <w:i w:val="0"/>
        </w:rPr>
        <w:t xml:space="preserve"> </w:t>
      </w:r>
    </w:p>
    <w:p w:rsidR="00CF07A0" w:rsidRDefault="008E738C" w:rsidP="001A4F14">
      <w:pPr>
        <w:jc w:val="both"/>
        <w:rPr>
          <w:rStyle w:val="Accentuation"/>
          <w:rFonts w:cstheme="minorHAnsi"/>
        </w:rPr>
      </w:pPr>
      <w:r w:rsidRPr="008E738C">
        <w:rPr>
          <w:rStyle w:val="Accentuation"/>
          <w:rFonts w:cstheme="minorHAnsi"/>
          <w:i w:val="0"/>
        </w:rPr>
        <w:t xml:space="preserve">Cette décision est plus en adéquation avec la volonté du </w:t>
      </w:r>
      <w:r w:rsidR="004E2713">
        <w:rPr>
          <w:rStyle w:val="Accentuation"/>
          <w:rFonts w:cstheme="minorHAnsi"/>
          <w:i w:val="0"/>
        </w:rPr>
        <w:t>législateur,</w:t>
      </w:r>
      <w:r w:rsidRPr="008E738C">
        <w:rPr>
          <w:rStyle w:val="Accentuation"/>
          <w:rFonts w:cstheme="minorHAnsi"/>
          <w:i w:val="0"/>
        </w:rPr>
        <w:t xml:space="preserve"> qui souhaitait d’avantage pro</w:t>
      </w:r>
      <w:r w:rsidR="00FE6923">
        <w:rPr>
          <w:rStyle w:val="Accentuation"/>
          <w:rFonts w:cstheme="minorHAnsi"/>
          <w:i w:val="0"/>
        </w:rPr>
        <w:t>téger</w:t>
      </w:r>
      <w:r w:rsidRPr="008E738C">
        <w:rPr>
          <w:rStyle w:val="Accentuation"/>
          <w:rFonts w:cstheme="minorHAnsi"/>
          <w:i w:val="0"/>
        </w:rPr>
        <w:t xml:space="preserve"> le </w:t>
      </w:r>
      <w:r w:rsidR="00FE6923" w:rsidRPr="008E738C">
        <w:rPr>
          <w:rStyle w:val="Accentuation"/>
          <w:rFonts w:cstheme="minorHAnsi"/>
          <w:i w:val="0"/>
        </w:rPr>
        <w:t xml:space="preserve">professionnel </w:t>
      </w:r>
      <w:r w:rsidR="00FE6923">
        <w:rPr>
          <w:rStyle w:val="Accentuation"/>
          <w:rFonts w:cstheme="minorHAnsi"/>
          <w:i w:val="0"/>
        </w:rPr>
        <w:t>(artisan</w:t>
      </w:r>
      <w:r w:rsidR="004E2713">
        <w:rPr>
          <w:rStyle w:val="Accentuation"/>
          <w:rFonts w:cstheme="minorHAnsi"/>
          <w:i w:val="0"/>
        </w:rPr>
        <w:t>, profession libérale, etc.</w:t>
      </w:r>
      <w:r w:rsidR="00FE6923">
        <w:rPr>
          <w:rStyle w:val="Accentuation"/>
          <w:rFonts w:cstheme="minorHAnsi"/>
          <w:i w:val="0"/>
        </w:rPr>
        <w:t xml:space="preserve">) </w:t>
      </w:r>
      <w:r w:rsidRPr="008E738C">
        <w:rPr>
          <w:rStyle w:val="Accentuation"/>
          <w:rFonts w:cstheme="minorHAnsi"/>
          <w:i w:val="0"/>
        </w:rPr>
        <w:t>qui n’a pas plus de compétence qu’un consommateur lorsqu’il est démarché</w:t>
      </w:r>
      <w:r w:rsidRPr="008E738C">
        <w:rPr>
          <w:rStyle w:val="Accentuation"/>
          <w:rFonts w:cstheme="minorHAnsi"/>
        </w:rPr>
        <w:t xml:space="preserve">. </w:t>
      </w:r>
      <w:r w:rsidR="00CF07A0">
        <w:rPr>
          <w:rStyle w:val="Accentuation"/>
          <w:rFonts w:cstheme="minorHAnsi"/>
        </w:rPr>
        <w:t xml:space="preserve"> </w:t>
      </w:r>
    </w:p>
    <w:p w:rsidR="008F4882" w:rsidRPr="00CF07A0" w:rsidRDefault="00CF07A0" w:rsidP="001A4F14">
      <w:pPr>
        <w:jc w:val="both"/>
        <w:rPr>
          <w:rStyle w:val="Accentuation"/>
          <w:rFonts w:cstheme="minorHAnsi"/>
        </w:rPr>
      </w:pPr>
      <w:r w:rsidRPr="00CF07A0">
        <w:rPr>
          <w:rStyle w:val="Accentuation"/>
          <w:rFonts w:cstheme="minorHAnsi"/>
          <w:i w:val="0"/>
        </w:rPr>
        <w:t>On peut espérer que cette notion sera dorénavant reprise par tous les juges</w:t>
      </w:r>
      <w:r w:rsidRPr="00CF07A0">
        <w:rPr>
          <w:rStyle w:val="Accentuation"/>
          <w:rFonts w:cstheme="minorHAnsi"/>
        </w:rPr>
        <w:t xml:space="preserve">. </w:t>
      </w:r>
      <w:r w:rsidR="008E738C" w:rsidRPr="00CF07A0">
        <w:rPr>
          <w:rStyle w:val="Accentuation"/>
          <w:rFonts w:cstheme="minorHAnsi"/>
        </w:rPr>
        <w:t xml:space="preserve"> </w:t>
      </w:r>
    </w:p>
    <w:p w:rsidR="006C2275" w:rsidRDefault="008E738C" w:rsidP="001A4F14">
      <w:pPr>
        <w:jc w:val="both"/>
      </w:pPr>
      <w:r>
        <w:t xml:space="preserve">Toutefois, </w:t>
      </w:r>
      <w:r w:rsidR="00FE6923">
        <w:t>afin d’éviter tout litige</w:t>
      </w:r>
      <w:r w:rsidR="004E2713">
        <w:t>,</w:t>
      </w:r>
      <w:r w:rsidR="00FE6923">
        <w:t xml:space="preserve"> il est plus prudent </w:t>
      </w:r>
      <w:r>
        <w:t xml:space="preserve">de lire les </w:t>
      </w:r>
      <w:r w:rsidR="004E2713">
        <w:t xml:space="preserve">conditions particulières et générales des </w:t>
      </w:r>
      <w:r>
        <w:t xml:space="preserve">contrats avant de les signer, et plus </w:t>
      </w:r>
      <w:r w:rsidR="00FE6923">
        <w:t>particulièrement les</w:t>
      </w:r>
      <w:r>
        <w:t xml:space="preserve"> clauses relatives au prix et à la durée d’engagement.   </w:t>
      </w:r>
    </w:p>
    <w:p w:rsidR="004E2713" w:rsidRPr="004E2713" w:rsidRDefault="004E2713" w:rsidP="004E2713">
      <w:pPr>
        <w:ind w:left="4956" w:firstLine="708"/>
        <w:jc w:val="both"/>
        <w:rPr>
          <w:b/>
        </w:rPr>
      </w:pPr>
      <w:r w:rsidRPr="004E2713">
        <w:rPr>
          <w:b/>
        </w:rPr>
        <w:t>Catherine DAYRIES</w:t>
      </w:r>
    </w:p>
    <w:p w:rsidR="006C2275" w:rsidRDefault="006C2275" w:rsidP="001A4F14">
      <w:pPr>
        <w:overflowPunct w:val="0"/>
        <w:autoSpaceDE w:val="0"/>
        <w:autoSpaceDN w:val="0"/>
        <w:adjustRightInd w:val="0"/>
        <w:spacing w:after="0" w:line="240" w:lineRule="auto"/>
        <w:jc w:val="both"/>
        <w:textAlignment w:val="baseline"/>
      </w:pPr>
    </w:p>
    <w:p w:rsidR="009E2C16" w:rsidRDefault="009E2C16" w:rsidP="001A4F14">
      <w:pPr>
        <w:jc w:val="both"/>
      </w:pPr>
    </w:p>
    <w:sectPr w:rsidR="009E2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02C7"/>
    <w:multiLevelType w:val="hybridMultilevel"/>
    <w:tmpl w:val="1C12433E"/>
    <w:lvl w:ilvl="0" w:tplc="040C0001">
      <w:start w:val="1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70"/>
    <w:rsid w:val="000F2F42"/>
    <w:rsid w:val="001A4F14"/>
    <w:rsid w:val="002E2E9E"/>
    <w:rsid w:val="003379DB"/>
    <w:rsid w:val="00367496"/>
    <w:rsid w:val="00376F64"/>
    <w:rsid w:val="00396A2B"/>
    <w:rsid w:val="003F34E3"/>
    <w:rsid w:val="00447A70"/>
    <w:rsid w:val="004E2713"/>
    <w:rsid w:val="005A24FF"/>
    <w:rsid w:val="005B7323"/>
    <w:rsid w:val="006424D1"/>
    <w:rsid w:val="00646303"/>
    <w:rsid w:val="006627B3"/>
    <w:rsid w:val="006C2275"/>
    <w:rsid w:val="006C5CC0"/>
    <w:rsid w:val="006D7832"/>
    <w:rsid w:val="008E738C"/>
    <w:rsid w:val="008F4882"/>
    <w:rsid w:val="00907F5B"/>
    <w:rsid w:val="009D53A2"/>
    <w:rsid w:val="009E2C16"/>
    <w:rsid w:val="00C63AB6"/>
    <w:rsid w:val="00CF07A0"/>
    <w:rsid w:val="00D05DF5"/>
    <w:rsid w:val="00D27D11"/>
    <w:rsid w:val="00D6669C"/>
    <w:rsid w:val="00DE3DE7"/>
    <w:rsid w:val="00E66609"/>
    <w:rsid w:val="00F038D7"/>
    <w:rsid w:val="00F21FE1"/>
    <w:rsid w:val="00F70458"/>
    <w:rsid w:val="00F870B2"/>
    <w:rsid w:val="00FE6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17D6"/>
  <w15:chartTrackingRefBased/>
  <w15:docId w15:val="{305F4AF2-D3C2-4F81-86F5-CA277E9D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609"/>
    <w:pPr>
      <w:ind w:left="720"/>
      <w:contextualSpacing/>
    </w:pPr>
  </w:style>
  <w:style w:type="character" w:styleId="Lienhypertexte">
    <w:name w:val="Hyperlink"/>
    <w:basedOn w:val="Policepardfaut"/>
    <w:uiPriority w:val="99"/>
    <w:semiHidden/>
    <w:unhideWhenUsed/>
    <w:rsid w:val="00396A2B"/>
    <w:rPr>
      <w:color w:val="0000FF"/>
      <w:u w:val="single"/>
      <w:shd w:val="clear" w:color="auto" w:fill="auto"/>
    </w:rPr>
  </w:style>
  <w:style w:type="paragraph" w:styleId="NormalWeb">
    <w:name w:val="Normal (Web)"/>
    <w:basedOn w:val="Normal"/>
    <w:uiPriority w:val="99"/>
    <w:semiHidden/>
    <w:unhideWhenUsed/>
    <w:rsid w:val="00396A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F4882"/>
    <w:rPr>
      <w:i/>
      <w:iCs/>
    </w:rPr>
  </w:style>
  <w:style w:type="character" w:styleId="lev">
    <w:name w:val="Strong"/>
    <w:basedOn w:val="Policepardfaut"/>
    <w:uiPriority w:val="22"/>
    <w:qFormat/>
    <w:rsid w:val="008F488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7842">
      <w:bodyDiv w:val="1"/>
      <w:marLeft w:val="0"/>
      <w:marRight w:val="0"/>
      <w:marTop w:val="0"/>
      <w:marBottom w:val="0"/>
      <w:divBdr>
        <w:top w:val="none" w:sz="0" w:space="0" w:color="auto"/>
        <w:left w:val="none" w:sz="0" w:space="0" w:color="auto"/>
        <w:bottom w:val="none" w:sz="0" w:space="0" w:color="auto"/>
        <w:right w:val="none" w:sz="0" w:space="0" w:color="auto"/>
      </w:divBdr>
      <w:divsChild>
        <w:div w:id="1970939026">
          <w:marLeft w:val="0"/>
          <w:marRight w:val="0"/>
          <w:marTop w:val="0"/>
          <w:marBottom w:val="0"/>
          <w:divBdr>
            <w:top w:val="none" w:sz="0" w:space="0" w:color="auto"/>
            <w:left w:val="none" w:sz="0" w:space="0" w:color="auto"/>
            <w:bottom w:val="none" w:sz="0" w:space="0" w:color="auto"/>
            <w:right w:val="none" w:sz="0" w:space="0" w:color="auto"/>
          </w:divBdr>
          <w:divsChild>
            <w:div w:id="1459959328">
              <w:marLeft w:val="0"/>
              <w:marRight w:val="0"/>
              <w:marTop w:val="0"/>
              <w:marBottom w:val="0"/>
              <w:divBdr>
                <w:top w:val="none" w:sz="0" w:space="0" w:color="auto"/>
                <w:left w:val="none" w:sz="0" w:space="0" w:color="auto"/>
                <w:bottom w:val="none" w:sz="0" w:space="0" w:color="auto"/>
                <w:right w:val="none" w:sz="0" w:space="0" w:color="auto"/>
              </w:divBdr>
              <w:divsChild>
                <w:div w:id="1386642983">
                  <w:marLeft w:val="0"/>
                  <w:marRight w:val="0"/>
                  <w:marTop w:val="0"/>
                  <w:marBottom w:val="0"/>
                  <w:divBdr>
                    <w:top w:val="none" w:sz="0" w:space="0" w:color="auto"/>
                    <w:left w:val="none" w:sz="0" w:space="0" w:color="auto"/>
                    <w:bottom w:val="none" w:sz="0" w:space="0" w:color="auto"/>
                    <w:right w:val="none" w:sz="0" w:space="0" w:color="auto"/>
                  </w:divBdr>
                  <w:divsChild>
                    <w:div w:id="830944121">
                      <w:marLeft w:val="0"/>
                      <w:marRight w:val="0"/>
                      <w:marTop w:val="0"/>
                      <w:marBottom w:val="0"/>
                      <w:divBdr>
                        <w:top w:val="none" w:sz="0" w:space="0" w:color="auto"/>
                        <w:left w:val="none" w:sz="0" w:space="0" w:color="auto"/>
                        <w:bottom w:val="none" w:sz="0" w:space="0" w:color="auto"/>
                        <w:right w:val="none" w:sz="0" w:space="0" w:color="auto"/>
                      </w:divBdr>
                      <w:divsChild>
                        <w:div w:id="1553543132">
                          <w:marLeft w:val="0"/>
                          <w:marRight w:val="0"/>
                          <w:marTop w:val="0"/>
                          <w:marBottom w:val="0"/>
                          <w:divBdr>
                            <w:top w:val="none" w:sz="0" w:space="0" w:color="auto"/>
                            <w:left w:val="none" w:sz="0" w:space="0" w:color="auto"/>
                            <w:bottom w:val="none" w:sz="0" w:space="0" w:color="auto"/>
                            <w:right w:val="none" w:sz="0" w:space="0" w:color="auto"/>
                          </w:divBdr>
                          <w:divsChild>
                            <w:div w:id="1045249681">
                              <w:marLeft w:val="0"/>
                              <w:marRight w:val="0"/>
                              <w:marTop w:val="0"/>
                              <w:marBottom w:val="0"/>
                              <w:divBdr>
                                <w:top w:val="none" w:sz="0" w:space="0" w:color="auto"/>
                                <w:left w:val="none" w:sz="0" w:space="0" w:color="auto"/>
                                <w:bottom w:val="none" w:sz="0" w:space="0" w:color="auto"/>
                                <w:right w:val="none" w:sz="0" w:space="0" w:color="auto"/>
                              </w:divBdr>
                              <w:divsChild>
                                <w:div w:id="3744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550973">
      <w:bodyDiv w:val="1"/>
      <w:marLeft w:val="0"/>
      <w:marRight w:val="0"/>
      <w:marTop w:val="0"/>
      <w:marBottom w:val="0"/>
      <w:divBdr>
        <w:top w:val="none" w:sz="0" w:space="0" w:color="auto"/>
        <w:left w:val="none" w:sz="0" w:space="0" w:color="auto"/>
        <w:bottom w:val="none" w:sz="0" w:space="0" w:color="auto"/>
        <w:right w:val="none" w:sz="0" w:space="0" w:color="auto"/>
      </w:divBdr>
      <w:divsChild>
        <w:div w:id="123742579">
          <w:marLeft w:val="0"/>
          <w:marRight w:val="0"/>
          <w:marTop w:val="0"/>
          <w:marBottom w:val="0"/>
          <w:divBdr>
            <w:top w:val="none" w:sz="0" w:space="0" w:color="auto"/>
            <w:left w:val="none" w:sz="0" w:space="0" w:color="auto"/>
            <w:bottom w:val="none" w:sz="0" w:space="0" w:color="auto"/>
            <w:right w:val="none" w:sz="0" w:space="0" w:color="auto"/>
          </w:divBdr>
          <w:divsChild>
            <w:div w:id="690911591">
              <w:marLeft w:val="0"/>
              <w:marRight w:val="0"/>
              <w:marTop w:val="0"/>
              <w:marBottom w:val="0"/>
              <w:divBdr>
                <w:top w:val="none" w:sz="0" w:space="0" w:color="auto"/>
                <w:left w:val="none" w:sz="0" w:space="0" w:color="auto"/>
                <w:bottom w:val="none" w:sz="0" w:space="0" w:color="auto"/>
                <w:right w:val="none" w:sz="0" w:space="0" w:color="auto"/>
              </w:divBdr>
              <w:divsChild>
                <w:div w:id="221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5307">
      <w:bodyDiv w:val="1"/>
      <w:marLeft w:val="0"/>
      <w:marRight w:val="0"/>
      <w:marTop w:val="0"/>
      <w:marBottom w:val="0"/>
      <w:divBdr>
        <w:top w:val="none" w:sz="0" w:space="0" w:color="auto"/>
        <w:left w:val="none" w:sz="0" w:space="0" w:color="auto"/>
        <w:bottom w:val="none" w:sz="0" w:space="0" w:color="auto"/>
        <w:right w:val="none" w:sz="0" w:space="0" w:color="auto"/>
      </w:divBdr>
      <w:divsChild>
        <w:div w:id="1242178354">
          <w:marLeft w:val="0"/>
          <w:marRight w:val="0"/>
          <w:marTop w:val="0"/>
          <w:marBottom w:val="0"/>
          <w:divBdr>
            <w:top w:val="none" w:sz="0" w:space="0" w:color="auto"/>
            <w:left w:val="none" w:sz="0" w:space="0" w:color="auto"/>
            <w:bottom w:val="none" w:sz="0" w:space="0" w:color="auto"/>
            <w:right w:val="none" w:sz="0" w:space="0" w:color="auto"/>
          </w:divBdr>
          <w:divsChild>
            <w:div w:id="1839609665">
              <w:marLeft w:val="0"/>
              <w:marRight w:val="0"/>
              <w:marTop w:val="0"/>
              <w:marBottom w:val="0"/>
              <w:divBdr>
                <w:top w:val="none" w:sz="0" w:space="0" w:color="auto"/>
                <w:left w:val="none" w:sz="0" w:space="0" w:color="auto"/>
                <w:bottom w:val="none" w:sz="0" w:space="0" w:color="auto"/>
                <w:right w:val="none" w:sz="0" w:space="0" w:color="auto"/>
              </w:divBdr>
              <w:divsChild>
                <w:div w:id="12892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6386">
      <w:bodyDiv w:val="1"/>
      <w:marLeft w:val="0"/>
      <w:marRight w:val="0"/>
      <w:marTop w:val="0"/>
      <w:marBottom w:val="0"/>
      <w:divBdr>
        <w:top w:val="none" w:sz="0" w:space="0" w:color="auto"/>
        <w:left w:val="none" w:sz="0" w:space="0" w:color="auto"/>
        <w:bottom w:val="none" w:sz="0" w:space="0" w:color="auto"/>
        <w:right w:val="none" w:sz="0" w:space="0" w:color="auto"/>
      </w:divBdr>
      <w:divsChild>
        <w:div w:id="1881891396">
          <w:marLeft w:val="0"/>
          <w:marRight w:val="0"/>
          <w:marTop w:val="0"/>
          <w:marBottom w:val="0"/>
          <w:divBdr>
            <w:top w:val="none" w:sz="0" w:space="0" w:color="auto"/>
            <w:left w:val="none" w:sz="0" w:space="0" w:color="auto"/>
            <w:bottom w:val="none" w:sz="0" w:space="0" w:color="auto"/>
            <w:right w:val="none" w:sz="0" w:space="0" w:color="auto"/>
          </w:divBdr>
          <w:divsChild>
            <w:div w:id="933249005">
              <w:marLeft w:val="0"/>
              <w:marRight w:val="0"/>
              <w:marTop w:val="0"/>
              <w:marBottom w:val="0"/>
              <w:divBdr>
                <w:top w:val="none" w:sz="0" w:space="0" w:color="auto"/>
                <w:left w:val="none" w:sz="0" w:space="0" w:color="auto"/>
                <w:bottom w:val="none" w:sz="0" w:space="0" w:color="auto"/>
                <w:right w:val="none" w:sz="0" w:space="0" w:color="auto"/>
              </w:divBdr>
              <w:divsChild>
                <w:div w:id="19357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3739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SILCA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DAYRIES Catherine</dc:creator>
  <cp:keywords/>
  <dc:description/>
  <cp:lastModifiedBy>MANUEL Mathilde</cp:lastModifiedBy>
  <cp:revision>3</cp:revision>
  <dcterms:created xsi:type="dcterms:W3CDTF">2020-11-24T18:28:00Z</dcterms:created>
  <dcterms:modified xsi:type="dcterms:W3CDTF">2020-11-27T18:03:00Z</dcterms:modified>
</cp:coreProperties>
</file>